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3413" w14:textId="326F506F" w:rsidR="00062885" w:rsidRDefault="005A1E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349756" wp14:editId="7052C57D">
                <wp:simplePos x="0" y="0"/>
                <wp:positionH relativeFrom="column">
                  <wp:posOffset>4122420</wp:posOffset>
                </wp:positionH>
                <wp:positionV relativeFrom="paragraph">
                  <wp:posOffset>-9525</wp:posOffset>
                </wp:positionV>
                <wp:extent cx="2739390" cy="948690"/>
                <wp:effectExtent l="0" t="4445" r="0" b="0"/>
                <wp:wrapThrough wrapText="bothSides">
                  <wp:wrapPolygon edited="0">
                    <wp:start x="-75" y="0"/>
                    <wp:lineTo x="-75" y="21383"/>
                    <wp:lineTo x="21600" y="21383"/>
                    <wp:lineTo x="21600" y="0"/>
                    <wp:lineTo x="-75" y="0"/>
                  </wp:wrapPolygon>
                </wp:wrapThrough>
                <wp:docPr id="741852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C472A" w14:textId="77777777" w:rsidR="0069159E" w:rsidRPr="0069159E" w:rsidRDefault="0069159E" w:rsidP="0069159E">
                            <w:pPr>
                              <w:pStyle w:val="Header"/>
                              <w:jc w:val="right"/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</w:pPr>
                            <w:r w:rsidRPr="0069159E"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  <w:t>City of Monroe</w:t>
                            </w:r>
                          </w:p>
                          <w:p w14:paraId="3D130095" w14:textId="5716CB49" w:rsidR="0069159E" w:rsidRPr="0069159E" w:rsidRDefault="0069159E" w:rsidP="0069159E">
                            <w:pPr>
                              <w:pStyle w:val="Header"/>
                              <w:jc w:val="right"/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</w:pPr>
                            <w:r w:rsidRPr="0069159E"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  <w:t>806 West Main Street, Monroe, WA 98272</w:t>
                            </w:r>
                          </w:p>
                          <w:p w14:paraId="09237F48" w14:textId="77777777" w:rsidR="005A1E93" w:rsidRDefault="0069159E" w:rsidP="0069159E">
                            <w:pPr>
                              <w:pStyle w:val="Header"/>
                              <w:jc w:val="right"/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</w:pPr>
                            <w:r w:rsidRPr="0069159E"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  <w:t>Phone (360) 794-7400</w:t>
                            </w:r>
                          </w:p>
                          <w:p w14:paraId="1D0A244E" w14:textId="55145C3D" w:rsidR="0069159E" w:rsidRPr="0069159E" w:rsidRDefault="0069159E" w:rsidP="0069159E">
                            <w:pPr>
                              <w:pStyle w:val="Header"/>
                              <w:jc w:val="right"/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</w:pPr>
                            <w:r w:rsidRPr="0069159E"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  <w:t>landuse@monroewa.gov</w:t>
                            </w:r>
                          </w:p>
                          <w:p w14:paraId="291F8573" w14:textId="77777777" w:rsidR="0069159E" w:rsidRPr="0069159E" w:rsidRDefault="0069159E" w:rsidP="0069159E">
                            <w:pPr>
                              <w:jc w:val="right"/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</w:pPr>
                            <w:r w:rsidRPr="0069159E">
                              <w:rPr>
                                <w:rFonts w:ascii="Poppins" w:hAnsi="Poppins" w:cs="Poppins"/>
                                <w:color w:val="1C355E"/>
                                <w:sz w:val="18"/>
                                <w:szCs w:val="18"/>
                              </w:rPr>
                              <w:t>www.monroewa.gov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497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6pt;margin-top:-.75pt;width:215.7pt;height:74.7pt;z-index:-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" stroked="f">
                <v:textbox style="mso-fit-shape-to-text:t">
                  <w:txbxContent>
                    <w:p w14:paraId="470C472A" w14:textId="77777777" w:rsidR="0069159E" w:rsidRPr="0069159E" w:rsidRDefault="0069159E" w:rsidP="0069159E">
                      <w:pPr>
                        <w:pStyle w:val="Header"/>
                        <w:jc w:val="right"/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</w:pPr>
                      <w:r w:rsidRPr="0069159E"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  <w:t>City of Monroe</w:t>
                      </w:r>
                    </w:p>
                    <w:p w14:paraId="3D130095" w14:textId="5716CB49" w:rsidR="0069159E" w:rsidRPr="0069159E" w:rsidRDefault="0069159E" w:rsidP="0069159E">
                      <w:pPr>
                        <w:pStyle w:val="Header"/>
                        <w:jc w:val="right"/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</w:pPr>
                      <w:r w:rsidRPr="0069159E"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  <w:t>806 West Main Street, Monroe, WA 98272</w:t>
                      </w:r>
                    </w:p>
                    <w:p w14:paraId="09237F48" w14:textId="77777777" w:rsidR="005A1E93" w:rsidRDefault="0069159E" w:rsidP="0069159E">
                      <w:pPr>
                        <w:pStyle w:val="Header"/>
                        <w:jc w:val="right"/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</w:pPr>
                      <w:r w:rsidRPr="0069159E"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  <w:t>Phone (360) 794-7400</w:t>
                      </w:r>
                    </w:p>
                    <w:p w14:paraId="1D0A244E" w14:textId="55145C3D" w:rsidR="0069159E" w:rsidRPr="0069159E" w:rsidRDefault="0069159E" w:rsidP="0069159E">
                      <w:pPr>
                        <w:pStyle w:val="Header"/>
                        <w:jc w:val="right"/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</w:pPr>
                      <w:r w:rsidRPr="0069159E"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  <w:t>landuse@monroewa.gov</w:t>
                      </w:r>
                    </w:p>
                    <w:p w14:paraId="291F8573" w14:textId="77777777" w:rsidR="0069159E" w:rsidRPr="0069159E" w:rsidRDefault="0069159E" w:rsidP="0069159E">
                      <w:pPr>
                        <w:jc w:val="right"/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</w:pPr>
                      <w:r w:rsidRPr="0069159E">
                        <w:rPr>
                          <w:rFonts w:ascii="Poppins" w:hAnsi="Poppins" w:cs="Poppins"/>
                          <w:color w:val="1C355E"/>
                          <w:sz w:val="18"/>
                          <w:szCs w:val="18"/>
                        </w:rPr>
                        <w:t>www.monroewa.gov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62885" w:rsidRPr="000D6BC7">
        <w:rPr>
          <w:noProof/>
          <w:sz w:val="14"/>
          <w:szCs w:val="14"/>
        </w:rPr>
        <w:drawing>
          <wp:anchor distT="0" distB="0" distL="114300" distR="114300" simplePos="0" relativeHeight="251659776" behindDoc="0" locked="0" layoutInCell="1" allowOverlap="1" wp14:anchorId="33DB3B21" wp14:editId="6C3ED4FB">
            <wp:simplePos x="0" y="0"/>
            <wp:positionH relativeFrom="column">
              <wp:posOffset>104774</wp:posOffset>
            </wp:positionH>
            <wp:positionV relativeFrom="paragraph">
              <wp:posOffset>-95250</wp:posOffset>
            </wp:positionV>
            <wp:extent cx="1552575" cy="948722"/>
            <wp:effectExtent l="0" t="0" r="0" b="0"/>
            <wp:wrapNone/>
            <wp:docPr id="1473397097" name="Picture 3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97097" name="Picture 3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383" cy="949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8F29E" w14:textId="77777777" w:rsidR="00062885" w:rsidRPr="004C69E4" w:rsidRDefault="00062885">
      <w:pPr>
        <w:rPr>
          <w:rFonts w:ascii="Poppins" w:hAnsi="Poppins" w:cs="Poppins"/>
          <w:b/>
          <w:bCs/>
          <w:color w:val="FF0000"/>
          <w:sz w:val="56"/>
          <w:szCs w:val="56"/>
        </w:rPr>
      </w:pPr>
    </w:p>
    <w:p w14:paraId="6C048673" w14:textId="77777777" w:rsidR="00062885" w:rsidRPr="00EF5B7F" w:rsidRDefault="00062885">
      <w:pPr>
        <w:rPr>
          <w:rFonts w:ascii="Poppins" w:hAnsi="Poppins" w:cs="Poppins"/>
          <w:b/>
          <w:bCs/>
          <w:color w:val="FF0000"/>
          <w:sz w:val="48"/>
          <w:szCs w:val="48"/>
        </w:rPr>
      </w:pPr>
    </w:p>
    <w:p w14:paraId="088048ED" w14:textId="727CBD1A" w:rsidR="00062885" w:rsidRDefault="00062885" w:rsidP="00062885">
      <w:pPr>
        <w:jc w:val="center"/>
        <w:rPr>
          <w:noProof/>
          <w:sz w:val="14"/>
          <w:szCs w:val="14"/>
        </w:rPr>
      </w:pPr>
      <w:bookmarkStart w:id="0" w:name="_Hlk214434397"/>
      <w:r w:rsidRPr="00123E85">
        <w:rPr>
          <w:rFonts w:ascii="Poppins" w:hAnsi="Poppins" w:cs="Poppins"/>
          <w:b/>
          <w:bCs/>
          <w:color w:val="FF0000"/>
          <w:sz w:val="52"/>
          <w:szCs w:val="52"/>
        </w:rPr>
        <w:t xml:space="preserve">NOTICE OF </w:t>
      </w:r>
      <w:r w:rsidR="000537D5">
        <w:rPr>
          <w:rFonts w:ascii="Poppins" w:hAnsi="Poppins" w:cs="Poppins"/>
          <w:b/>
          <w:bCs/>
          <w:color w:val="FF0000"/>
          <w:sz w:val="52"/>
          <w:szCs w:val="52"/>
        </w:rPr>
        <w:t>PLANNING COMMISSION</w:t>
      </w:r>
      <w:r w:rsidRPr="00123E85">
        <w:rPr>
          <w:rFonts w:ascii="Poppins" w:hAnsi="Poppins" w:cs="Poppins"/>
          <w:b/>
          <w:bCs/>
          <w:color w:val="FF0000"/>
          <w:sz w:val="52"/>
          <w:szCs w:val="52"/>
        </w:rPr>
        <w:t xml:space="preserve"> PUBLIC HEARING</w:t>
      </w:r>
    </w:p>
    <w:p w14:paraId="11AA1F09" w14:textId="12655431" w:rsidR="004D2DC8" w:rsidRPr="00062885" w:rsidRDefault="004D2DC8"/>
    <w:p w14:paraId="4EFD3E4C" w14:textId="71C67142" w:rsidR="00062885" w:rsidRPr="005A1E93" w:rsidRDefault="00062885" w:rsidP="005A1E93">
      <w:pPr>
        <w:jc w:val="both"/>
        <w:rPr>
          <w:rFonts w:ascii="Rockwell Nova" w:hAnsi="Rockwell Nova"/>
          <w:b/>
          <w:sz w:val="22"/>
          <w:szCs w:val="22"/>
        </w:rPr>
      </w:pPr>
      <w:r w:rsidRPr="005A1E93">
        <w:rPr>
          <w:rFonts w:ascii="Rockwell Nova" w:hAnsi="Rockwell Nova"/>
          <w:b/>
          <w:bCs/>
          <w:caps/>
          <w:sz w:val="22"/>
          <w:szCs w:val="22"/>
        </w:rPr>
        <w:t>NOTICE is hereby given</w:t>
      </w:r>
      <w:r w:rsidRPr="005A1E93">
        <w:rPr>
          <w:rFonts w:ascii="Rockwell Nova" w:hAnsi="Rockwell Nova"/>
          <w:sz w:val="22"/>
          <w:szCs w:val="22"/>
        </w:rPr>
        <w:t xml:space="preserve"> that a </w:t>
      </w:r>
      <w:r w:rsidRPr="005A1E93">
        <w:rPr>
          <w:rFonts w:ascii="Rockwell Nova" w:hAnsi="Rockwell Nova"/>
          <w:b/>
          <w:bCs/>
          <w:sz w:val="22"/>
          <w:szCs w:val="22"/>
        </w:rPr>
        <w:t>PUBLIC HEARING</w:t>
      </w:r>
      <w:r w:rsidRPr="005A1E93">
        <w:rPr>
          <w:rFonts w:ascii="Rockwell Nova" w:hAnsi="Rockwell Nova"/>
          <w:sz w:val="22"/>
          <w:szCs w:val="22"/>
        </w:rPr>
        <w:t xml:space="preserve"> is scheduled to be held </w:t>
      </w:r>
      <w:r w:rsidR="000F2ABE">
        <w:rPr>
          <w:rFonts w:ascii="Rockwell Nova" w:hAnsi="Rockwell Nova"/>
          <w:b/>
          <w:bCs/>
          <w:sz w:val="22"/>
          <w:szCs w:val="22"/>
        </w:rPr>
        <w:t>Monday</w:t>
      </w:r>
      <w:r w:rsidRPr="005A1E93">
        <w:rPr>
          <w:rFonts w:ascii="Rockwell Nova" w:hAnsi="Rockwell Nova"/>
          <w:b/>
          <w:bCs/>
          <w:sz w:val="22"/>
          <w:szCs w:val="22"/>
        </w:rPr>
        <w:t xml:space="preserve">, </w:t>
      </w:r>
      <w:r w:rsidR="007E4E39">
        <w:rPr>
          <w:rFonts w:ascii="Rockwell Nova" w:hAnsi="Rockwell Nova"/>
          <w:b/>
          <w:bCs/>
          <w:sz w:val="22"/>
          <w:szCs w:val="22"/>
        </w:rPr>
        <w:t>January 12</w:t>
      </w:r>
      <w:r w:rsidRPr="005A1E93">
        <w:rPr>
          <w:rFonts w:ascii="Rockwell Nova" w:hAnsi="Rockwell Nova"/>
          <w:b/>
          <w:bCs/>
          <w:sz w:val="22"/>
          <w:szCs w:val="22"/>
        </w:rPr>
        <w:t xml:space="preserve">, </w:t>
      </w:r>
      <w:proofErr w:type="gramStart"/>
      <w:r w:rsidR="0068163F">
        <w:rPr>
          <w:rFonts w:ascii="Rockwell Nova" w:hAnsi="Rockwell Nova"/>
          <w:b/>
          <w:bCs/>
          <w:sz w:val="22"/>
          <w:szCs w:val="22"/>
        </w:rPr>
        <w:t>202</w:t>
      </w:r>
      <w:r w:rsidR="001D7528">
        <w:rPr>
          <w:rFonts w:ascii="Rockwell Nova" w:hAnsi="Rockwell Nova"/>
          <w:b/>
          <w:bCs/>
          <w:sz w:val="22"/>
          <w:szCs w:val="22"/>
        </w:rPr>
        <w:t>6</w:t>
      </w:r>
      <w:proofErr w:type="gramEnd"/>
      <w:r w:rsidR="0068163F">
        <w:rPr>
          <w:rFonts w:ascii="Rockwell Nova" w:hAnsi="Rockwell Nova"/>
          <w:b/>
          <w:bCs/>
          <w:sz w:val="22"/>
          <w:szCs w:val="22"/>
        </w:rPr>
        <w:t xml:space="preserve"> </w:t>
      </w:r>
      <w:r w:rsidRPr="005A1E93">
        <w:rPr>
          <w:rFonts w:ascii="Rockwell Nova" w:hAnsi="Rockwell Nova"/>
          <w:b/>
          <w:bCs/>
          <w:sz w:val="22"/>
          <w:szCs w:val="22"/>
        </w:rPr>
        <w:t>at 7:00 p.m.</w:t>
      </w:r>
      <w:r w:rsidRPr="005A1E93">
        <w:rPr>
          <w:rFonts w:ascii="Rockwell Nova" w:hAnsi="Rockwell Nova"/>
          <w:sz w:val="22"/>
          <w:szCs w:val="22"/>
        </w:rPr>
        <w:t xml:space="preserve"> by </w:t>
      </w:r>
      <w:r w:rsidR="000F2ABE">
        <w:rPr>
          <w:rFonts w:ascii="Rockwell Nova" w:hAnsi="Rockwell Nova"/>
          <w:sz w:val="22"/>
          <w:szCs w:val="22"/>
        </w:rPr>
        <w:t>the</w:t>
      </w:r>
      <w:r w:rsidR="000F2ABE" w:rsidRPr="000F2ABE">
        <w:rPr>
          <w:rFonts w:ascii="Rockwell Nova" w:hAnsi="Rockwell Nova"/>
          <w:sz w:val="22"/>
          <w:szCs w:val="22"/>
        </w:rPr>
        <w:t xml:space="preserve"> </w:t>
      </w:r>
      <w:r w:rsidR="000F2ABE" w:rsidRPr="000F2ABE">
        <w:rPr>
          <w:rFonts w:ascii="Rockwell Nova" w:hAnsi="Rockwell Nova"/>
          <w:b/>
          <w:bCs/>
          <w:sz w:val="22"/>
          <w:szCs w:val="22"/>
        </w:rPr>
        <w:t>City of Monroe Planning Commission</w:t>
      </w:r>
      <w:r w:rsidR="000F2ABE" w:rsidRPr="000F2ABE">
        <w:rPr>
          <w:rFonts w:ascii="Rockwell Nova" w:hAnsi="Rockwell Nova"/>
          <w:sz w:val="22"/>
          <w:szCs w:val="22"/>
        </w:rPr>
        <w:t xml:space="preserve"> to consider </w:t>
      </w:r>
      <w:r w:rsidR="000F2ABE" w:rsidRPr="000F2ABE">
        <w:rPr>
          <w:rFonts w:ascii="Rockwell Nova" w:hAnsi="Rockwell Nova"/>
          <w:b/>
          <w:bCs/>
          <w:sz w:val="22"/>
          <w:szCs w:val="22"/>
        </w:rPr>
        <w:t>pre-annexation zoning for the Davis Propert</w:t>
      </w:r>
      <w:r w:rsidR="000F2ABE">
        <w:rPr>
          <w:rFonts w:ascii="Rockwell Nova" w:hAnsi="Rockwell Nova"/>
          <w:b/>
          <w:bCs/>
          <w:sz w:val="22"/>
          <w:szCs w:val="22"/>
        </w:rPr>
        <w:t>ies</w:t>
      </w:r>
      <w:r w:rsidR="000F2ABE" w:rsidRPr="000F2ABE">
        <w:rPr>
          <w:rFonts w:ascii="Rockwell Nova" w:hAnsi="Rockwell Nova"/>
          <w:sz w:val="22"/>
          <w:szCs w:val="22"/>
        </w:rPr>
        <w:t xml:space="preserve"> and a potential recommendation to the City Council. Additional details are provided below:</w:t>
      </w:r>
    </w:p>
    <w:p w14:paraId="644BD14F" w14:textId="77777777" w:rsidR="00062885" w:rsidRPr="004C69E4" w:rsidRDefault="00062885" w:rsidP="00062885">
      <w:pPr>
        <w:pStyle w:val="Subtitle"/>
        <w:rPr>
          <w:rFonts w:ascii="Rockwell Nova" w:hAnsi="Rockwell Nova" w:cs="Arial"/>
          <w:b/>
          <w:bCs/>
          <w:sz w:val="24"/>
          <w:szCs w:val="24"/>
        </w:rPr>
      </w:pPr>
    </w:p>
    <w:p w14:paraId="4BA9AC86" w14:textId="6C966C88" w:rsidR="00062885" w:rsidRPr="008C7FC4" w:rsidRDefault="00062885" w:rsidP="00062885">
      <w:pPr>
        <w:rPr>
          <w:rFonts w:ascii="Rockwell Nova" w:hAnsi="Rockwell Nova" w:cs="Arial"/>
          <w:sz w:val="22"/>
          <w:szCs w:val="22"/>
        </w:rPr>
      </w:pPr>
      <w:r w:rsidRPr="00123E85">
        <w:rPr>
          <w:rFonts w:ascii="Rockwell Nova" w:hAnsi="Rockwell Nova" w:cs="Arial"/>
          <w:b/>
          <w:bCs/>
          <w:sz w:val="22"/>
          <w:szCs w:val="22"/>
          <w:u w:val="single"/>
        </w:rPr>
        <w:t>LOCATION:</w:t>
      </w:r>
      <w:r w:rsidRPr="00123E85">
        <w:rPr>
          <w:rFonts w:ascii="Rockwell Nova" w:hAnsi="Rockwell Nova" w:cs="Arial"/>
          <w:b/>
          <w:bCs/>
          <w:sz w:val="22"/>
          <w:szCs w:val="22"/>
        </w:rPr>
        <w:tab/>
      </w:r>
      <w:r w:rsidRPr="008C7FC4">
        <w:rPr>
          <w:rFonts w:ascii="Rockwell Nova" w:hAnsi="Rockwell Nova" w:cs="Arial"/>
          <w:sz w:val="22"/>
          <w:szCs w:val="22"/>
        </w:rPr>
        <w:t xml:space="preserve">In-Person at </w:t>
      </w:r>
      <w:r w:rsidR="005E60AD" w:rsidRPr="008C7FC4">
        <w:rPr>
          <w:rFonts w:ascii="Rockwell Nova" w:hAnsi="Rockwell Nova" w:cs="Arial"/>
          <w:sz w:val="22"/>
          <w:szCs w:val="22"/>
        </w:rPr>
        <w:t>Monroe City Hall</w:t>
      </w:r>
      <w:r w:rsidRPr="008C7FC4">
        <w:rPr>
          <w:rFonts w:ascii="Rockwell Nova" w:hAnsi="Rockwell Nova" w:cs="Arial"/>
          <w:sz w:val="22"/>
          <w:szCs w:val="22"/>
        </w:rPr>
        <w:t xml:space="preserve"> at</w:t>
      </w:r>
    </w:p>
    <w:p w14:paraId="474C6EF0" w14:textId="0F04055D" w:rsidR="00062885" w:rsidRPr="008C7FC4" w:rsidRDefault="005E60AD" w:rsidP="00062885">
      <w:pPr>
        <w:ind w:left="2160"/>
        <w:rPr>
          <w:rFonts w:ascii="Rockwell Nova" w:hAnsi="Rockwell Nova" w:cs="Arial"/>
          <w:sz w:val="22"/>
          <w:szCs w:val="22"/>
        </w:rPr>
      </w:pPr>
      <w:r w:rsidRPr="008C7FC4">
        <w:rPr>
          <w:rFonts w:ascii="Rockwell Nova" w:hAnsi="Rockwell Nova" w:cs="Arial"/>
          <w:sz w:val="22"/>
          <w:szCs w:val="22"/>
        </w:rPr>
        <w:t>806 West Main Street</w:t>
      </w:r>
      <w:r w:rsidR="00062885" w:rsidRPr="008C7FC4">
        <w:rPr>
          <w:rFonts w:ascii="Rockwell Nova" w:hAnsi="Rockwell Nova" w:cs="Arial"/>
          <w:sz w:val="22"/>
          <w:szCs w:val="22"/>
        </w:rPr>
        <w:t xml:space="preserve"> and online via Zoom - Virtual Meeting Platform</w:t>
      </w:r>
      <w:r w:rsidR="00062885" w:rsidRPr="008C7FC4">
        <w:rPr>
          <w:rFonts w:ascii="Rockwell Nova" w:hAnsi="Rockwell Nova" w:cs="Arial"/>
          <w:sz w:val="22"/>
          <w:szCs w:val="22"/>
        </w:rPr>
        <w:br/>
      </w:r>
      <w:r w:rsidR="00062885" w:rsidRPr="008C7FC4">
        <w:rPr>
          <w:rFonts w:ascii="Rockwell Nova" w:hAnsi="Rockwell Nova" w:cs="Arial"/>
          <w:b/>
          <w:bCs/>
          <w:sz w:val="22"/>
          <w:szCs w:val="22"/>
        </w:rPr>
        <w:t>Zoom Link:</w:t>
      </w:r>
      <w:r w:rsidR="008C7FC4" w:rsidRPr="008C7FC4">
        <w:t xml:space="preserve"> </w:t>
      </w:r>
      <w:hyperlink r:id="rId6" w:history="1">
        <w:r w:rsidR="008C7FC4" w:rsidRPr="00164BDD">
          <w:rPr>
            <w:rStyle w:val="Hyperlink"/>
            <w:rFonts w:ascii="Rockwell Nova" w:hAnsi="Rockwell Nova" w:cs="Arial"/>
            <w:sz w:val="22"/>
            <w:szCs w:val="22"/>
          </w:rPr>
          <w:t>https://us02web.zoom.us/j/83748075121</w:t>
        </w:r>
      </w:hyperlink>
      <w:r w:rsidR="008C7FC4">
        <w:rPr>
          <w:rFonts w:ascii="Rockwell Nova" w:hAnsi="Rockwell Nova" w:cs="Arial"/>
          <w:sz w:val="22"/>
          <w:szCs w:val="22"/>
        </w:rPr>
        <w:t xml:space="preserve"> </w:t>
      </w:r>
    </w:p>
    <w:p w14:paraId="5A48DA5B" w14:textId="77777777" w:rsidR="00062885" w:rsidRPr="008C7FC4" w:rsidRDefault="00062885" w:rsidP="00062885">
      <w:pPr>
        <w:ind w:left="1440" w:firstLine="720"/>
        <w:rPr>
          <w:rFonts w:ascii="Rockwell Nova" w:hAnsi="Rockwell Nova" w:cs="Arial"/>
          <w:sz w:val="22"/>
          <w:szCs w:val="22"/>
        </w:rPr>
      </w:pPr>
      <w:r w:rsidRPr="008C7FC4">
        <w:rPr>
          <w:rFonts w:ascii="Rockwell Nova" w:hAnsi="Rockwell Nova" w:cs="Arial"/>
          <w:b/>
          <w:bCs/>
          <w:sz w:val="22"/>
          <w:szCs w:val="22"/>
        </w:rPr>
        <w:t>Call-in Number:</w:t>
      </w:r>
      <w:r w:rsidRPr="008C7FC4">
        <w:rPr>
          <w:rFonts w:ascii="Rockwell Nova" w:hAnsi="Rockwell Nova" w:cs="Arial"/>
          <w:sz w:val="22"/>
          <w:szCs w:val="22"/>
        </w:rPr>
        <w:t xml:space="preserve"> 253-215-8782  </w:t>
      </w:r>
    </w:p>
    <w:p w14:paraId="37EDC7D9" w14:textId="3D92B396" w:rsidR="00062885" w:rsidRPr="00123E85" w:rsidRDefault="00062885" w:rsidP="00062885">
      <w:pPr>
        <w:ind w:left="1440" w:firstLine="720"/>
        <w:rPr>
          <w:rFonts w:ascii="Rockwell Nova" w:hAnsi="Rockwell Nova" w:cs="Arial"/>
          <w:sz w:val="22"/>
          <w:szCs w:val="22"/>
        </w:rPr>
      </w:pPr>
      <w:r w:rsidRPr="008C7FC4">
        <w:rPr>
          <w:rFonts w:ascii="Rockwell Nova" w:hAnsi="Rockwell Nova" w:cs="Arial"/>
          <w:b/>
          <w:bCs/>
          <w:sz w:val="22"/>
          <w:szCs w:val="22"/>
        </w:rPr>
        <w:t>Meeting ID:</w:t>
      </w:r>
      <w:r w:rsidR="008C7FC4" w:rsidRPr="008C7FC4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="008C7FC4" w:rsidRPr="008C7FC4">
        <w:rPr>
          <w:rFonts w:ascii="Rockwell Nova" w:hAnsi="Rockwell Nova" w:cs="Arial"/>
          <w:sz w:val="22"/>
          <w:szCs w:val="22"/>
        </w:rPr>
        <w:t>837 4807 5121</w:t>
      </w:r>
    </w:p>
    <w:p w14:paraId="3818B429" w14:textId="77777777" w:rsidR="00062885" w:rsidRPr="004C69E4" w:rsidRDefault="00062885" w:rsidP="00062885">
      <w:pPr>
        <w:ind w:left="2160" w:firstLine="720"/>
        <w:rPr>
          <w:rFonts w:ascii="Rockwell Nova" w:hAnsi="Rockwell Nova" w:cs="Arial"/>
          <w:sz w:val="24"/>
          <w:szCs w:val="24"/>
        </w:rPr>
      </w:pPr>
    </w:p>
    <w:p w14:paraId="26C46B0D" w14:textId="1B15EEBF" w:rsidR="00062885" w:rsidRPr="00123E85" w:rsidRDefault="00062885" w:rsidP="00062885">
      <w:pPr>
        <w:rPr>
          <w:rFonts w:ascii="Rockwell Nova" w:hAnsi="Rockwell Nova" w:cs="Arial"/>
          <w:b/>
          <w:bCs/>
          <w:sz w:val="22"/>
          <w:szCs w:val="22"/>
        </w:rPr>
      </w:pPr>
      <w:r w:rsidRPr="00123E85">
        <w:rPr>
          <w:rFonts w:ascii="Rockwell Nova" w:hAnsi="Rockwell Nova" w:cs="Arial"/>
          <w:b/>
          <w:bCs/>
          <w:sz w:val="22"/>
          <w:szCs w:val="22"/>
        </w:rPr>
        <w:t xml:space="preserve">*Public Comment can only be made in person at </w:t>
      </w:r>
      <w:r w:rsidR="005E60AD">
        <w:rPr>
          <w:rFonts w:ascii="Rockwell Nova" w:hAnsi="Rockwell Nova" w:cs="Arial"/>
          <w:b/>
          <w:bCs/>
          <w:sz w:val="22"/>
          <w:szCs w:val="22"/>
        </w:rPr>
        <w:t xml:space="preserve">the meeting </w:t>
      </w:r>
      <w:r w:rsidRPr="00123E85">
        <w:rPr>
          <w:rFonts w:ascii="Rockwell Nova" w:hAnsi="Rockwell Nova" w:cs="Arial"/>
          <w:b/>
          <w:bCs/>
          <w:sz w:val="22"/>
          <w:szCs w:val="22"/>
        </w:rPr>
        <w:t>or in writing prior to the public hearing*</w:t>
      </w:r>
    </w:p>
    <w:p w14:paraId="584BA99D" w14:textId="77777777" w:rsidR="00062885" w:rsidRPr="00123E85" w:rsidRDefault="00062885" w:rsidP="00062885">
      <w:pPr>
        <w:jc w:val="both"/>
        <w:rPr>
          <w:rFonts w:ascii="Rockwell Nova" w:hAnsi="Rockwell Nova" w:cs="Arial"/>
          <w:sz w:val="18"/>
          <w:szCs w:val="18"/>
        </w:rPr>
      </w:pPr>
    </w:p>
    <w:p w14:paraId="69B6C858" w14:textId="6D193A7C" w:rsidR="00062885" w:rsidRPr="0051116B" w:rsidRDefault="00062885" w:rsidP="00062885">
      <w:pPr>
        <w:ind w:left="2880" w:hanging="2880"/>
        <w:jc w:val="both"/>
        <w:rPr>
          <w:rFonts w:ascii="Rockwell Nova" w:hAnsi="Rockwell Nova" w:cs="Arial"/>
          <w:iCs/>
          <w:spacing w:val="-3"/>
          <w:sz w:val="22"/>
          <w:szCs w:val="22"/>
        </w:rPr>
      </w:pPr>
      <w:r w:rsidRPr="00123E85">
        <w:rPr>
          <w:rFonts w:ascii="Rockwell Nova" w:hAnsi="Rockwell Nova" w:cs="Arial"/>
          <w:b/>
          <w:bCs/>
          <w:smallCaps/>
          <w:sz w:val="22"/>
          <w:szCs w:val="22"/>
          <w:u w:val="single"/>
        </w:rPr>
        <w:t>PROJECT NAME</w:t>
      </w:r>
      <w:proofErr w:type="gramStart"/>
      <w:r w:rsidRPr="00123E85">
        <w:rPr>
          <w:rFonts w:ascii="Rockwell Nova" w:hAnsi="Rockwell Nova" w:cs="Arial"/>
          <w:b/>
          <w:bCs/>
          <w:smallCaps/>
          <w:sz w:val="22"/>
          <w:szCs w:val="22"/>
          <w:u w:val="single"/>
        </w:rPr>
        <w:t>:</w:t>
      </w:r>
      <w:r w:rsidRPr="00123E85">
        <w:rPr>
          <w:rFonts w:ascii="Rockwell Nova" w:hAnsi="Rockwell Nova" w:cs="Arial"/>
          <w:bCs/>
          <w:smallCaps/>
          <w:sz w:val="22"/>
          <w:szCs w:val="22"/>
          <w:u w:val="single"/>
        </w:rPr>
        <w:t xml:space="preserve"> </w:t>
      </w:r>
      <w:r w:rsidRPr="00123E85">
        <w:rPr>
          <w:rFonts w:ascii="Rockwell Nova" w:hAnsi="Rockwell Nova" w:cs="Arial"/>
          <w:bCs/>
          <w:smallCaps/>
          <w:sz w:val="22"/>
          <w:szCs w:val="22"/>
        </w:rPr>
        <w:t xml:space="preserve"> </w:t>
      </w:r>
      <w:r>
        <w:rPr>
          <w:rFonts w:ascii="Rockwell Nova" w:hAnsi="Rockwell Nova" w:cs="Arial"/>
          <w:bCs/>
          <w:smallCaps/>
          <w:sz w:val="22"/>
          <w:szCs w:val="22"/>
        </w:rPr>
        <w:tab/>
      </w:r>
      <w:proofErr w:type="gramEnd"/>
      <w:r w:rsidR="000F2ABE">
        <w:rPr>
          <w:rFonts w:ascii="Rockwell Nova" w:hAnsi="Rockwell Nova" w:cs="Arial"/>
          <w:bCs/>
          <w:smallCaps/>
          <w:sz w:val="22"/>
          <w:szCs w:val="22"/>
        </w:rPr>
        <w:t>DAVIS PRE-ANNEXATION ZONING</w:t>
      </w:r>
    </w:p>
    <w:p w14:paraId="2430CFC8" w14:textId="77777777" w:rsidR="00062885" w:rsidRPr="0051116B" w:rsidRDefault="00062885" w:rsidP="00062885">
      <w:pPr>
        <w:ind w:left="2880" w:hanging="2880"/>
        <w:jc w:val="both"/>
        <w:rPr>
          <w:rFonts w:ascii="Rockwell Nova" w:hAnsi="Rockwell Nova" w:cs="Arial"/>
          <w:b/>
          <w:bCs/>
          <w:smallCaps/>
          <w:sz w:val="18"/>
          <w:szCs w:val="18"/>
          <w:u w:val="single"/>
        </w:rPr>
      </w:pPr>
    </w:p>
    <w:p w14:paraId="7F9FF023" w14:textId="6D3AAB0C" w:rsidR="00062885" w:rsidRPr="0051116B" w:rsidRDefault="00062885" w:rsidP="00062885">
      <w:pPr>
        <w:jc w:val="both"/>
        <w:rPr>
          <w:rFonts w:ascii="Rockwell Nova" w:hAnsi="Rockwell Nova" w:cs="Arial"/>
          <w:sz w:val="22"/>
          <w:szCs w:val="22"/>
        </w:rPr>
      </w:pPr>
      <w:r w:rsidRPr="0051116B">
        <w:rPr>
          <w:rFonts w:ascii="Rockwell Nova" w:hAnsi="Rockwell Nova" w:cs="Arial"/>
          <w:b/>
          <w:sz w:val="22"/>
          <w:szCs w:val="22"/>
          <w:u w:val="single"/>
        </w:rPr>
        <w:t xml:space="preserve">PROJECT </w:t>
      </w:r>
      <w:proofErr w:type="gramStart"/>
      <w:r w:rsidRPr="0051116B">
        <w:rPr>
          <w:rFonts w:ascii="Rockwell Nova" w:hAnsi="Rockwell Nova" w:cs="Arial"/>
          <w:b/>
          <w:sz w:val="22"/>
          <w:szCs w:val="22"/>
          <w:u w:val="single"/>
        </w:rPr>
        <w:t>FILE#:</w:t>
      </w:r>
      <w:r w:rsidRPr="0051116B">
        <w:rPr>
          <w:rFonts w:ascii="Rockwell Nova" w:hAnsi="Rockwell Nova" w:cs="Arial"/>
          <w:sz w:val="22"/>
          <w:szCs w:val="22"/>
        </w:rPr>
        <w:tab/>
      </w:r>
      <w:proofErr w:type="gramEnd"/>
      <w:r w:rsidRPr="0051116B">
        <w:rPr>
          <w:rFonts w:ascii="Rockwell Nova" w:hAnsi="Rockwell Nova" w:cs="Arial"/>
          <w:sz w:val="22"/>
          <w:szCs w:val="22"/>
        </w:rPr>
        <w:tab/>
      </w:r>
      <w:r w:rsidR="008C7FC4">
        <w:rPr>
          <w:rFonts w:ascii="Rockwell Nova" w:hAnsi="Rockwell Nova" w:cs="Arial"/>
          <w:sz w:val="22"/>
          <w:szCs w:val="22"/>
        </w:rPr>
        <w:t>PREANZON</w:t>
      </w:r>
      <w:r w:rsidR="00D031A8" w:rsidRPr="0051116B">
        <w:rPr>
          <w:rFonts w:ascii="Rockwell Nova" w:hAnsi="Rockwell Nova" w:cs="Arial"/>
          <w:sz w:val="22"/>
          <w:szCs w:val="22"/>
        </w:rPr>
        <w:t>2025-0</w:t>
      </w:r>
      <w:r w:rsidR="0051116B" w:rsidRPr="0051116B">
        <w:rPr>
          <w:rFonts w:ascii="Rockwell Nova" w:hAnsi="Rockwell Nova" w:cs="Arial"/>
          <w:sz w:val="22"/>
          <w:szCs w:val="22"/>
        </w:rPr>
        <w:t>1</w:t>
      </w:r>
      <w:r w:rsidR="00C1148D">
        <w:rPr>
          <w:rFonts w:ascii="Rockwell Nova" w:hAnsi="Rockwell Nova" w:cs="Arial"/>
          <w:sz w:val="22"/>
          <w:szCs w:val="22"/>
        </w:rPr>
        <w:t>, SEPA2025-14</w:t>
      </w:r>
    </w:p>
    <w:p w14:paraId="35CC6FAB" w14:textId="77777777" w:rsidR="00062885" w:rsidRPr="0051116B" w:rsidRDefault="00062885" w:rsidP="00062885">
      <w:pPr>
        <w:jc w:val="both"/>
        <w:rPr>
          <w:rFonts w:ascii="Rockwell Nova" w:hAnsi="Rockwell Nova" w:cs="Arial"/>
          <w:sz w:val="18"/>
          <w:szCs w:val="18"/>
        </w:rPr>
      </w:pPr>
    </w:p>
    <w:p w14:paraId="7EE4BDD2" w14:textId="6115D3A4" w:rsidR="00062885" w:rsidRPr="0051116B" w:rsidRDefault="00062885" w:rsidP="00062885">
      <w:pPr>
        <w:jc w:val="both"/>
        <w:rPr>
          <w:rFonts w:ascii="Rockwell Nova" w:hAnsi="Rockwell Nova" w:cs="Arial"/>
          <w:sz w:val="22"/>
          <w:szCs w:val="22"/>
        </w:rPr>
      </w:pPr>
      <w:r w:rsidRPr="0051116B">
        <w:rPr>
          <w:rFonts w:ascii="Rockwell Nova" w:hAnsi="Rockwell Nova" w:cs="Arial"/>
          <w:b/>
          <w:sz w:val="22"/>
          <w:szCs w:val="22"/>
          <w:u w:val="single"/>
        </w:rPr>
        <w:t>APPLICANT</w:t>
      </w:r>
      <w:proofErr w:type="gramStart"/>
      <w:r w:rsidRPr="0051116B">
        <w:rPr>
          <w:rFonts w:ascii="Rockwell Nova" w:hAnsi="Rockwell Nova" w:cs="Arial"/>
          <w:b/>
          <w:sz w:val="22"/>
          <w:szCs w:val="22"/>
          <w:u w:val="single"/>
        </w:rPr>
        <w:t>:</w:t>
      </w:r>
      <w:r w:rsidRPr="0051116B">
        <w:rPr>
          <w:rFonts w:ascii="Rockwell Nova" w:hAnsi="Rockwell Nova" w:cs="Arial"/>
          <w:b/>
          <w:sz w:val="22"/>
          <w:szCs w:val="22"/>
        </w:rPr>
        <w:tab/>
      </w:r>
      <w:r w:rsidRPr="0051116B">
        <w:rPr>
          <w:rFonts w:ascii="Rockwell Nova" w:hAnsi="Rockwell Nova" w:cs="Arial"/>
          <w:b/>
          <w:sz w:val="22"/>
          <w:szCs w:val="22"/>
        </w:rPr>
        <w:tab/>
      </w:r>
      <w:r w:rsidR="00D031A8" w:rsidRPr="0051116B">
        <w:rPr>
          <w:rFonts w:ascii="Rockwell Nova" w:hAnsi="Rockwell Nova" w:cs="Arial"/>
          <w:bCs/>
          <w:sz w:val="22"/>
          <w:szCs w:val="22"/>
        </w:rPr>
        <w:t>City</w:t>
      </w:r>
      <w:proofErr w:type="gramEnd"/>
      <w:r w:rsidR="00D031A8" w:rsidRPr="0051116B">
        <w:rPr>
          <w:rFonts w:ascii="Rockwell Nova" w:hAnsi="Rockwell Nova" w:cs="Arial"/>
          <w:bCs/>
          <w:sz w:val="22"/>
          <w:szCs w:val="22"/>
        </w:rPr>
        <w:t xml:space="preserve"> of Monroe</w:t>
      </w:r>
    </w:p>
    <w:p w14:paraId="2853252A" w14:textId="77777777" w:rsidR="00062885" w:rsidRPr="0051116B" w:rsidRDefault="00062885" w:rsidP="00062885">
      <w:pPr>
        <w:jc w:val="both"/>
        <w:rPr>
          <w:rFonts w:ascii="Rockwell Nova" w:hAnsi="Rockwell Nova" w:cs="Arial"/>
          <w:sz w:val="18"/>
          <w:szCs w:val="18"/>
        </w:rPr>
      </w:pPr>
    </w:p>
    <w:p w14:paraId="64B1DCB5" w14:textId="55BFF5EC" w:rsidR="000F2ABE" w:rsidRPr="000F2ABE" w:rsidRDefault="00062885" w:rsidP="000F2AB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880" w:hanging="2880"/>
        <w:jc w:val="both"/>
        <w:rPr>
          <w:rFonts w:ascii="Rockwell Nova" w:hAnsi="Rockwell Nova" w:cs="Arial"/>
          <w:sz w:val="22"/>
          <w:szCs w:val="22"/>
        </w:rPr>
      </w:pPr>
      <w:r w:rsidRPr="0051116B">
        <w:rPr>
          <w:rFonts w:ascii="Rockwell Nova" w:hAnsi="Rockwell Nova" w:cs="Arial"/>
          <w:b/>
          <w:sz w:val="22"/>
          <w:szCs w:val="22"/>
          <w:u w:val="single"/>
        </w:rPr>
        <w:t>LOCATION</w:t>
      </w:r>
      <w:proofErr w:type="gramStart"/>
      <w:r w:rsidRPr="0051116B">
        <w:rPr>
          <w:rFonts w:ascii="Rockwell Nova" w:hAnsi="Rockwell Nova" w:cs="Arial"/>
          <w:b/>
          <w:sz w:val="22"/>
          <w:szCs w:val="22"/>
          <w:u w:val="single"/>
        </w:rPr>
        <w:t>:</w:t>
      </w:r>
      <w:r w:rsidRPr="0051116B">
        <w:rPr>
          <w:rFonts w:ascii="Rockwell Nova" w:hAnsi="Rockwell Nova" w:cs="Arial"/>
          <w:sz w:val="22"/>
          <w:szCs w:val="22"/>
        </w:rPr>
        <w:t xml:space="preserve"> </w:t>
      </w:r>
      <w:r w:rsidRPr="0051116B">
        <w:rPr>
          <w:rFonts w:ascii="Rockwell Nova" w:hAnsi="Rockwell Nova" w:cs="Arial"/>
          <w:sz w:val="22"/>
          <w:szCs w:val="22"/>
        </w:rPr>
        <w:tab/>
      </w:r>
      <w:r w:rsidR="000F2ABE" w:rsidRPr="000F2ABE">
        <w:rPr>
          <w:rFonts w:ascii="Rockwell Nova" w:hAnsi="Rockwell Nova" w:cs="Arial"/>
          <w:sz w:val="22"/>
          <w:szCs w:val="22"/>
        </w:rPr>
        <w:t>Four</w:t>
      </w:r>
      <w:proofErr w:type="gramEnd"/>
      <w:r w:rsidR="000F2ABE" w:rsidRPr="000F2ABE">
        <w:rPr>
          <w:rFonts w:ascii="Rockwell Nova" w:hAnsi="Rockwell Nova" w:cs="Arial"/>
          <w:sz w:val="22"/>
          <w:szCs w:val="22"/>
        </w:rPr>
        <w:t xml:space="preserve"> parcels totaling approximately 23 acres within Monroe’s Urban Growth Area:</w:t>
      </w:r>
      <w:r w:rsidR="000F2ABE">
        <w:rPr>
          <w:rFonts w:ascii="Rockwell Nova" w:hAnsi="Rockwell Nova" w:cs="Arial"/>
          <w:sz w:val="22"/>
          <w:szCs w:val="22"/>
        </w:rPr>
        <w:t xml:space="preserve"> </w:t>
      </w:r>
      <w:r w:rsidR="000F2ABE" w:rsidRPr="000F2ABE">
        <w:rPr>
          <w:rFonts w:ascii="Rockwell Nova" w:hAnsi="Rockwell Nova" w:cs="Arial"/>
          <w:sz w:val="22"/>
          <w:szCs w:val="22"/>
        </w:rPr>
        <w:t>28062500407800</w:t>
      </w:r>
      <w:r w:rsidR="000F2ABE">
        <w:rPr>
          <w:rFonts w:ascii="Rockwell Nova" w:hAnsi="Rockwell Nova" w:cs="Arial"/>
          <w:sz w:val="22"/>
          <w:szCs w:val="22"/>
        </w:rPr>
        <w:t xml:space="preserve">, </w:t>
      </w:r>
      <w:r w:rsidR="000F2ABE" w:rsidRPr="000F2ABE">
        <w:rPr>
          <w:rFonts w:ascii="Rockwell Nova" w:hAnsi="Rockwell Nova" w:cs="Arial"/>
          <w:sz w:val="22"/>
          <w:szCs w:val="22"/>
        </w:rPr>
        <w:t>28062500407600</w:t>
      </w:r>
      <w:r w:rsidR="000F2ABE">
        <w:rPr>
          <w:rFonts w:ascii="Rockwell Nova" w:hAnsi="Rockwell Nova" w:cs="Arial"/>
          <w:sz w:val="22"/>
          <w:szCs w:val="22"/>
        </w:rPr>
        <w:t xml:space="preserve">, </w:t>
      </w:r>
      <w:r w:rsidR="000F2ABE" w:rsidRPr="000F2ABE">
        <w:rPr>
          <w:rFonts w:ascii="Rockwell Nova" w:hAnsi="Rockwell Nova" w:cs="Arial"/>
          <w:sz w:val="22"/>
          <w:szCs w:val="22"/>
        </w:rPr>
        <w:t>28073000300600</w:t>
      </w:r>
      <w:r w:rsidR="000F2ABE">
        <w:rPr>
          <w:rFonts w:ascii="Rockwell Nova" w:hAnsi="Rockwell Nova" w:cs="Arial"/>
          <w:sz w:val="22"/>
          <w:szCs w:val="22"/>
        </w:rPr>
        <w:t xml:space="preserve">, and </w:t>
      </w:r>
      <w:r w:rsidR="000F2ABE" w:rsidRPr="000F2ABE">
        <w:rPr>
          <w:rFonts w:ascii="Rockwell Nova" w:hAnsi="Rockwell Nova" w:cs="Arial"/>
          <w:sz w:val="22"/>
          <w:szCs w:val="22"/>
        </w:rPr>
        <w:t>28062500407700</w:t>
      </w:r>
    </w:p>
    <w:p w14:paraId="18C58A1C" w14:textId="166CFCAC" w:rsidR="00062885" w:rsidRPr="0051116B" w:rsidRDefault="00062885" w:rsidP="0006288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ascii="Rockwell Nova" w:hAnsi="Rockwell Nova" w:cs="Arial"/>
          <w:b/>
          <w:bCs/>
          <w:sz w:val="22"/>
          <w:szCs w:val="22"/>
        </w:rPr>
      </w:pPr>
    </w:p>
    <w:p w14:paraId="6D502372" w14:textId="77777777" w:rsidR="00062885" w:rsidRPr="0051116B" w:rsidRDefault="00062885" w:rsidP="00062885">
      <w:pPr>
        <w:jc w:val="both"/>
        <w:rPr>
          <w:rFonts w:ascii="Rockwell Nova" w:eastAsiaTheme="minorHAnsi" w:hAnsi="Rockwell Nova" w:cs="Arial"/>
          <w:color w:val="000000"/>
          <w:sz w:val="18"/>
          <w:szCs w:val="18"/>
        </w:rPr>
      </w:pPr>
    </w:p>
    <w:p w14:paraId="5148ED68" w14:textId="77777777" w:rsidR="000537D5" w:rsidRDefault="00062885" w:rsidP="000F2ABE">
      <w:pPr>
        <w:jc w:val="both"/>
        <w:rPr>
          <w:rFonts w:ascii="Rockwell Nova" w:hAnsi="Rockwell Nova" w:cs="Arial"/>
          <w:sz w:val="22"/>
          <w:szCs w:val="22"/>
        </w:rPr>
      </w:pPr>
      <w:r w:rsidRPr="0051116B">
        <w:rPr>
          <w:rFonts w:ascii="Rockwell Nova" w:hAnsi="Rockwell Nova" w:cs="Arial"/>
          <w:b/>
          <w:sz w:val="22"/>
          <w:szCs w:val="22"/>
          <w:u w:val="single"/>
        </w:rPr>
        <w:t>PROJECT DESCRIPTION:</w:t>
      </w:r>
      <w:r w:rsidRPr="0051116B">
        <w:rPr>
          <w:rFonts w:ascii="Rockwell Nova" w:hAnsi="Rockwell Nova" w:cs="Arial"/>
          <w:sz w:val="22"/>
          <w:szCs w:val="22"/>
        </w:rPr>
        <w:t xml:space="preserve"> </w:t>
      </w:r>
      <w:r w:rsidR="000537D5" w:rsidRPr="000537D5">
        <w:rPr>
          <w:rFonts w:ascii="Rockwell Nova" w:hAnsi="Rockwell Nova" w:cs="Arial"/>
          <w:sz w:val="22"/>
          <w:szCs w:val="22"/>
        </w:rPr>
        <w:t>The City of Monroe is proposing to establish pre-annexation zoning for the Davis Property located within the City’s Urban Growth Area (UGA). Pre-annexation zoning is required prior to annexation under MMC 22.76 and ensures zoning consistency once the property is brought into city limits.</w:t>
      </w:r>
    </w:p>
    <w:p w14:paraId="2CDA0325" w14:textId="77777777" w:rsidR="000537D5" w:rsidRDefault="000537D5" w:rsidP="000F2ABE">
      <w:pPr>
        <w:jc w:val="both"/>
        <w:rPr>
          <w:rFonts w:ascii="Rockwell Nova" w:hAnsi="Rockwell Nova" w:cs="Arial"/>
          <w:sz w:val="22"/>
          <w:szCs w:val="22"/>
        </w:rPr>
      </w:pPr>
    </w:p>
    <w:p w14:paraId="2C6D8C1A" w14:textId="75C8A11E" w:rsidR="000F2ABE" w:rsidRPr="000F2ABE" w:rsidRDefault="000F2ABE" w:rsidP="000F2ABE">
      <w:pPr>
        <w:jc w:val="both"/>
        <w:rPr>
          <w:rFonts w:ascii="Rockwell Nova" w:hAnsi="Rockwell Nova" w:cs="Arial"/>
          <w:sz w:val="22"/>
          <w:szCs w:val="22"/>
        </w:rPr>
      </w:pPr>
      <w:r w:rsidRPr="000F2ABE">
        <w:rPr>
          <w:rFonts w:ascii="Rockwell Nova" w:hAnsi="Rockwell Nova" w:cs="Arial"/>
          <w:sz w:val="22"/>
          <w:szCs w:val="22"/>
        </w:rPr>
        <w:t>Two zoning designations are under consideration:</w:t>
      </w:r>
    </w:p>
    <w:p w14:paraId="01A49751" w14:textId="77777777" w:rsidR="000F2ABE" w:rsidRPr="000F2ABE" w:rsidRDefault="000F2ABE" w:rsidP="000F2ABE">
      <w:pPr>
        <w:numPr>
          <w:ilvl w:val="0"/>
          <w:numId w:val="3"/>
        </w:numPr>
        <w:rPr>
          <w:rFonts w:ascii="Rockwell Nova" w:hAnsi="Rockwell Nova" w:cs="Arial"/>
          <w:sz w:val="22"/>
          <w:szCs w:val="22"/>
        </w:rPr>
      </w:pPr>
      <w:r w:rsidRPr="000F2ABE">
        <w:rPr>
          <w:rFonts w:ascii="Rockwell Nova" w:hAnsi="Rockwell Nova" w:cs="Arial"/>
          <w:b/>
          <w:bCs/>
          <w:sz w:val="22"/>
          <w:szCs w:val="22"/>
        </w:rPr>
        <w:t>R7 – Single-Family Residential (7 units per acre)</w:t>
      </w:r>
      <w:r w:rsidRPr="000F2ABE">
        <w:rPr>
          <w:rFonts w:ascii="Rockwell Nova" w:hAnsi="Rockwell Nova" w:cs="Arial"/>
          <w:sz w:val="22"/>
          <w:szCs w:val="22"/>
        </w:rPr>
        <w:br/>
        <w:t>Allows up to 7 detached units per acre or up to 14 attached units per acre, or a combination thereof.</w:t>
      </w:r>
    </w:p>
    <w:p w14:paraId="224DB80C" w14:textId="77777777" w:rsidR="000F2ABE" w:rsidRDefault="000F2ABE" w:rsidP="000F2ABE">
      <w:pPr>
        <w:numPr>
          <w:ilvl w:val="0"/>
          <w:numId w:val="3"/>
        </w:numPr>
        <w:rPr>
          <w:rFonts w:ascii="Rockwell Nova" w:hAnsi="Rockwell Nova" w:cs="Arial"/>
          <w:sz w:val="22"/>
          <w:szCs w:val="22"/>
        </w:rPr>
      </w:pPr>
      <w:r w:rsidRPr="000F2ABE">
        <w:rPr>
          <w:rFonts w:ascii="Rockwell Nova" w:hAnsi="Rockwell Nova" w:cs="Arial"/>
          <w:b/>
          <w:bCs/>
          <w:sz w:val="22"/>
          <w:szCs w:val="22"/>
        </w:rPr>
        <w:t>R15 – Single-Family Residential (15 units per acre)</w:t>
      </w:r>
      <w:r w:rsidRPr="000F2ABE">
        <w:rPr>
          <w:rFonts w:ascii="Rockwell Nova" w:hAnsi="Rockwell Nova" w:cs="Arial"/>
          <w:sz w:val="22"/>
          <w:szCs w:val="22"/>
        </w:rPr>
        <w:br/>
        <w:t>Allows up to 15 units per acre.</w:t>
      </w:r>
    </w:p>
    <w:p w14:paraId="42EF0737" w14:textId="77777777" w:rsidR="000537D5" w:rsidRPr="000F2ABE" w:rsidRDefault="000537D5" w:rsidP="000537D5">
      <w:pPr>
        <w:rPr>
          <w:rFonts w:ascii="Rockwell Nova" w:hAnsi="Rockwell Nova" w:cs="Arial"/>
          <w:sz w:val="22"/>
          <w:szCs w:val="22"/>
        </w:rPr>
      </w:pPr>
    </w:p>
    <w:p w14:paraId="366CACFF" w14:textId="56481155" w:rsidR="00062885" w:rsidRPr="00123E85" w:rsidRDefault="000F2ABE" w:rsidP="00062885">
      <w:pPr>
        <w:jc w:val="both"/>
        <w:rPr>
          <w:rFonts w:ascii="Rockwell Nova" w:hAnsi="Rockwell Nova" w:cs="Arial"/>
          <w:sz w:val="22"/>
          <w:szCs w:val="22"/>
        </w:rPr>
      </w:pPr>
      <w:r w:rsidRPr="000F2ABE">
        <w:rPr>
          <w:rFonts w:ascii="Rockwell Nova" w:hAnsi="Rockwell Nova" w:cs="Arial"/>
          <w:sz w:val="22"/>
          <w:szCs w:val="22"/>
        </w:rPr>
        <w:lastRenderedPageBreak/>
        <w:t>This action will establish the property’s zoning designation in advance of annexation and provide a coordinated land use framework consistent with the City of Monroe 2044 Comprehensive Plan and RCW 35A.14.330–340.</w:t>
      </w:r>
    </w:p>
    <w:p w14:paraId="023591BA" w14:textId="77777777" w:rsidR="00062885" w:rsidRPr="00123E85" w:rsidRDefault="00062885" w:rsidP="00062885">
      <w:pPr>
        <w:jc w:val="both"/>
        <w:rPr>
          <w:rFonts w:ascii="Rockwell Nova" w:eastAsia="Trebuchet MS" w:hAnsi="Rockwell Nova" w:cs="Arial"/>
          <w:sz w:val="18"/>
          <w:szCs w:val="18"/>
        </w:rPr>
      </w:pPr>
    </w:p>
    <w:p w14:paraId="5C242CF0" w14:textId="33C39EFB" w:rsidR="00062885" w:rsidRPr="00123E85" w:rsidRDefault="00062885" w:rsidP="00062885">
      <w:pPr>
        <w:jc w:val="both"/>
        <w:rPr>
          <w:rFonts w:ascii="Rockwell Nova" w:hAnsi="Rockwell Nova" w:cs="Arial"/>
          <w:b/>
          <w:sz w:val="22"/>
          <w:szCs w:val="22"/>
        </w:rPr>
      </w:pPr>
      <w:r w:rsidRPr="00123E85">
        <w:rPr>
          <w:rFonts w:ascii="Rockwell Nova" w:hAnsi="Rockwell Nova" w:cs="Arial"/>
          <w:b/>
          <w:sz w:val="22"/>
          <w:szCs w:val="22"/>
          <w:u w:val="single"/>
        </w:rPr>
        <w:t>PUBLIC COMMENT PROCEDURE:</w:t>
      </w:r>
      <w:r w:rsidRPr="00123E85">
        <w:rPr>
          <w:rFonts w:ascii="Rockwell Nova" w:hAnsi="Rockwell Nova" w:cs="Arial"/>
          <w:sz w:val="22"/>
          <w:szCs w:val="22"/>
        </w:rPr>
        <w:t xml:space="preserve"> Anyone wishing to comment on the above items or to provide other relevant information may do so in writing or appear before the </w:t>
      </w:r>
      <w:r w:rsidR="000F2ABE">
        <w:rPr>
          <w:rFonts w:ascii="Rockwell Nova" w:hAnsi="Rockwell Nova" w:cs="Arial"/>
          <w:sz w:val="22"/>
          <w:szCs w:val="22"/>
        </w:rPr>
        <w:t>Planning Commission</w:t>
      </w:r>
      <w:r w:rsidRPr="00123E85">
        <w:rPr>
          <w:rFonts w:ascii="Rockwell Nova" w:hAnsi="Rockwell Nova" w:cs="Arial"/>
          <w:sz w:val="22"/>
          <w:szCs w:val="22"/>
        </w:rPr>
        <w:t xml:space="preserve"> at the time and place of said public hearing. Submit written comments to </w:t>
      </w:r>
      <w:r w:rsidR="000F2ABE">
        <w:rPr>
          <w:rFonts w:ascii="Rockwell Nova" w:hAnsi="Rockwell Nova" w:cs="Arial"/>
          <w:sz w:val="22"/>
          <w:szCs w:val="22"/>
        </w:rPr>
        <w:t>Hannah Maynard</w:t>
      </w:r>
      <w:r w:rsidRPr="00123E85">
        <w:rPr>
          <w:rFonts w:ascii="Rockwell Nova" w:hAnsi="Rockwell Nova" w:cs="Arial"/>
          <w:sz w:val="22"/>
          <w:szCs w:val="22"/>
        </w:rPr>
        <w:t xml:space="preserve">, </w:t>
      </w:r>
      <w:r w:rsidR="000F2ABE">
        <w:rPr>
          <w:rFonts w:ascii="Rockwell Nova" w:hAnsi="Rockwell Nova" w:cs="Arial"/>
          <w:sz w:val="22"/>
          <w:szCs w:val="22"/>
        </w:rPr>
        <w:t>Permit Technician</w:t>
      </w:r>
      <w:r w:rsidRPr="00123E85">
        <w:rPr>
          <w:rFonts w:ascii="Rockwell Nova" w:hAnsi="Rockwell Nova" w:cs="Arial"/>
          <w:sz w:val="22"/>
          <w:szCs w:val="22"/>
        </w:rPr>
        <w:t xml:space="preserve">, at </w:t>
      </w:r>
      <w:hyperlink r:id="rId7" w:history="1">
        <w:r w:rsidR="000F2ABE" w:rsidRPr="009352BF">
          <w:rPr>
            <w:rStyle w:val="Hyperlink"/>
            <w:rFonts w:ascii="Rockwell Nova" w:eastAsiaTheme="majorEastAsia" w:hAnsi="Rockwell Nova" w:cs="Arial"/>
            <w:sz w:val="22"/>
            <w:szCs w:val="22"/>
          </w:rPr>
          <w:t>hmaynard@monroewa.gov</w:t>
        </w:r>
      </w:hyperlink>
      <w:r w:rsidR="00EF5B7F">
        <w:rPr>
          <w:rFonts w:ascii="Rockwell Nova" w:hAnsi="Rockwell Nova" w:cs="Arial"/>
          <w:sz w:val="22"/>
          <w:szCs w:val="22"/>
        </w:rPr>
        <w:t xml:space="preserve"> by 4:00 p.m. on the date of said public hearing.</w:t>
      </w:r>
      <w:r w:rsidRPr="00123E85">
        <w:rPr>
          <w:rFonts w:ascii="Rockwell Nova" w:hAnsi="Rockwell Nova" w:cs="Arial"/>
          <w:sz w:val="22"/>
          <w:szCs w:val="22"/>
        </w:rPr>
        <w:t xml:space="preserve"> </w:t>
      </w:r>
      <w:r w:rsidRPr="00123E85">
        <w:rPr>
          <w:rFonts w:ascii="Rockwell Nova" w:hAnsi="Rockwell Nova" w:cs="Arial"/>
          <w:b/>
          <w:sz w:val="22"/>
          <w:szCs w:val="22"/>
        </w:rPr>
        <w:t xml:space="preserve">During the public hearing, public </w:t>
      </w:r>
      <w:proofErr w:type="gramStart"/>
      <w:r w:rsidRPr="00123E85">
        <w:rPr>
          <w:rFonts w:ascii="Rockwell Nova" w:hAnsi="Rockwell Nova" w:cs="Arial"/>
          <w:b/>
          <w:sz w:val="22"/>
          <w:szCs w:val="22"/>
        </w:rPr>
        <w:t>comment</w:t>
      </w:r>
      <w:proofErr w:type="gramEnd"/>
      <w:r w:rsidRPr="00123E85">
        <w:rPr>
          <w:rFonts w:ascii="Rockwell Nova" w:hAnsi="Rockwell Nova" w:cs="Arial"/>
          <w:b/>
          <w:sz w:val="22"/>
          <w:szCs w:val="22"/>
        </w:rPr>
        <w:t xml:space="preserve"> can only be made in person.  Public </w:t>
      </w:r>
      <w:proofErr w:type="gramStart"/>
      <w:r w:rsidRPr="00123E85">
        <w:rPr>
          <w:rFonts w:ascii="Rockwell Nova" w:hAnsi="Rockwell Nova" w:cs="Arial"/>
          <w:b/>
          <w:sz w:val="22"/>
          <w:szCs w:val="22"/>
        </w:rPr>
        <w:t>comment</w:t>
      </w:r>
      <w:proofErr w:type="gramEnd"/>
      <w:r w:rsidRPr="00123E85">
        <w:rPr>
          <w:rFonts w:ascii="Rockwell Nova" w:hAnsi="Rockwell Nova" w:cs="Arial"/>
          <w:b/>
          <w:sz w:val="22"/>
          <w:szCs w:val="22"/>
        </w:rPr>
        <w:t xml:space="preserve"> via Zoom is not permitted.</w:t>
      </w:r>
    </w:p>
    <w:p w14:paraId="72DCDF02" w14:textId="77777777" w:rsidR="00062885" w:rsidRPr="00123E85" w:rsidRDefault="00062885" w:rsidP="00062885">
      <w:pPr>
        <w:jc w:val="both"/>
        <w:rPr>
          <w:rFonts w:ascii="Rockwell Nova" w:hAnsi="Rockwell Nova" w:cs="Arial"/>
          <w:b/>
          <w:sz w:val="18"/>
          <w:szCs w:val="18"/>
        </w:rPr>
      </w:pPr>
    </w:p>
    <w:p w14:paraId="1E644F2F" w14:textId="27833DAA" w:rsidR="00062885" w:rsidRPr="0051116B" w:rsidRDefault="00062885" w:rsidP="00062885">
      <w:pPr>
        <w:jc w:val="both"/>
        <w:rPr>
          <w:rFonts w:ascii="Rockwell Nova" w:hAnsi="Rockwell Nova" w:cs="Arial"/>
          <w:sz w:val="22"/>
          <w:szCs w:val="22"/>
        </w:rPr>
      </w:pPr>
      <w:r w:rsidRPr="0051116B">
        <w:rPr>
          <w:rFonts w:ascii="Rockwell Nova" w:hAnsi="Rockwell Nova" w:cs="Arial"/>
          <w:b/>
          <w:sz w:val="22"/>
          <w:szCs w:val="22"/>
          <w:u w:val="single"/>
        </w:rPr>
        <w:t>PUBLIC REVIEW OF DOCUMENTS:</w:t>
      </w:r>
      <w:r w:rsidRPr="0051116B">
        <w:rPr>
          <w:rFonts w:ascii="Rockwell Nova" w:hAnsi="Rockwell Nova" w:cs="Arial"/>
          <w:sz w:val="22"/>
          <w:szCs w:val="22"/>
        </w:rPr>
        <w:t xml:space="preserve"> A copy of the supporting documents are available for review on the city’s </w:t>
      </w:r>
      <w:r w:rsidRPr="007E4E39">
        <w:rPr>
          <w:rFonts w:ascii="Rockwell Nova" w:hAnsi="Rockwell Nova" w:cs="Arial"/>
          <w:sz w:val="22"/>
          <w:szCs w:val="22"/>
        </w:rPr>
        <w:t xml:space="preserve">website at: </w:t>
      </w:r>
      <w:hyperlink r:id="rId8" w:history="1">
        <w:r w:rsidR="007E4E39" w:rsidRPr="007E4E39">
          <w:rPr>
            <w:rStyle w:val="Hyperlink"/>
            <w:rFonts w:ascii="Rockwell Nova" w:hAnsi="Rockwell Nova"/>
            <w:sz w:val="22"/>
            <w:szCs w:val="22"/>
          </w:rPr>
          <w:t>https://monroewa.gov/1313/20020/Davis-Annexation#</w:t>
        </w:r>
      </w:hyperlink>
      <w:r w:rsidR="008C7FC4" w:rsidRPr="007E4E39">
        <w:rPr>
          <w:rFonts w:ascii="Rockwell Nova" w:hAnsi="Rockwell Nova" w:cs="Arial"/>
          <w:sz w:val="22"/>
          <w:szCs w:val="22"/>
        </w:rPr>
        <w:t xml:space="preserve"> </w:t>
      </w:r>
      <w:r w:rsidRPr="007E4E39">
        <w:rPr>
          <w:rFonts w:ascii="Rockwell Nova" w:hAnsi="Rockwell Nova" w:cs="Arial"/>
          <w:sz w:val="22"/>
          <w:szCs w:val="22"/>
        </w:rPr>
        <w:t>Please contact</w:t>
      </w:r>
      <w:r w:rsidRPr="0051116B">
        <w:rPr>
          <w:rFonts w:ascii="Rockwell Nova" w:hAnsi="Rockwell Nova" w:cs="Arial"/>
          <w:sz w:val="22"/>
          <w:szCs w:val="22"/>
        </w:rPr>
        <w:t xml:space="preserve"> </w:t>
      </w:r>
      <w:r w:rsidR="005E60AD" w:rsidRPr="0051116B">
        <w:rPr>
          <w:rFonts w:ascii="Rockwell Nova" w:hAnsi="Rockwell Nova" w:cs="Arial"/>
          <w:sz w:val="22"/>
          <w:szCs w:val="22"/>
        </w:rPr>
        <w:t>Amy Bright</w:t>
      </w:r>
      <w:r w:rsidRPr="0051116B">
        <w:rPr>
          <w:rFonts w:ascii="Rockwell Nova" w:hAnsi="Rockwell Nova" w:cs="Arial"/>
          <w:sz w:val="22"/>
          <w:szCs w:val="22"/>
        </w:rPr>
        <w:t xml:space="preserve"> @ (360) 863-45</w:t>
      </w:r>
      <w:r w:rsidR="0051116B" w:rsidRPr="0051116B">
        <w:rPr>
          <w:rFonts w:ascii="Rockwell Nova" w:hAnsi="Rockwell Nova" w:cs="Arial"/>
          <w:sz w:val="22"/>
          <w:szCs w:val="22"/>
        </w:rPr>
        <w:t>3</w:t>
      </w:r>
      <w:r w:rsidRPr="0051116B">
        <w:rPr>
          <w:rFonts w:ascii="Rockwell Nova" w:hAnsi="Rockwell Nova" w:cs="Arial"/>
          <w:sz w:val="22"/>
          <w:szCs w:val="22"/>
        </w:rPr>
        <w:t xml:space="preserve">3 or </w:t>
      </w:r>
      <w:hyperlink r:id="rId9" w:history="1">
        <w:r w:rsidR="005E60AD" w:rsidRPr="0051116B">
          <w:rPr>
            <w:rStyle w:val="Hyperlink"/>
            <w:rFonts w:ascii="Rockwell Nova" w:hAnsi="Rockwell Nova"/>
            <w:sz w:val="22"/>
            <w:szCs w:val="22"/>
          </w:rPr>
          <w:t>abright@monroewa.gov</w:t>
        </w:r>
      </w:hyperlink>
      <w:r w:rsidRPr="0051116B">
        <w:rPr>
          <w:rFonts w:ascii="Rockwell Nova" w:hAnsi="Rockwell Nova" w:cs="Arial"/>
          <w:sz w:val="22"/>
          <w:szCs w:val="22"/>
        </w:rPr>
        <w:t xml:space="preserve"> for further assistance.</w:t>
      </w:r>
    </w:p>
    <w:p w14:paraId="093E7081" w14:textId="77777777" w:rsidR="00062885" w:rsidRPr="0051116B" w:rsidRDefault="00062885" w:rsidP="00062885">
      <w:pPr>
        <w:rPr>
          <w:rFonts w:ascii="Rockwell Nova" w:hAnsi="Rockwell Nova" w:cs="Arial"/>
          <w:b/>
          <w:smallCaps/>
          <w:sz w:val="22"/>
          <w:szCs w:val="22"/>
          <w:u w:val="single"/>
        </w:rPr>
      </w:pPr>
    </w:p>
    <w:p w14:paraId="57C8D76C" w14:textId="2FBE5616" w:rsidR="00062885" w:rsidRDefault="00062885">
      <w:r w:rsidRPr="0051116B">
        <w:rPr>
          <w:rFonts w:ascii="Rockwell Nova" w:hAnsi="Rockwell Nova" w:cs="Arial"/>
          <w:b/>
          <w:smallCaps/>
          <w:sz w:val="22"/>
          <w:szCs w:val="22"/>
          <w:u w:val="single"/>
        </w:rPr>
        <w:t>STAFF CONTACT</w:t>
      </w:r>
      <w:r w:rsidRPr="0051116B">
        <w:rPr>
          <w:rFonts w:ascii="Rockwell Nova" w:hAnsi="Rockwell Nova" w:cs="Arial"/>
          <w:b/>
          <w:sz w:val="22"/>
          <w:szCs w:val="22"/>
          <w:u w:val="single"/>
        </w:rPr>
        <w:t>:</w:t>
      </w:r>
      <w:r w:rsidRPr="0051116B">
        <w:rPr>
          <w:rFonts w:ascii="Rockwell Nova" w:hAnsi="Rockwell Nova" w:cs="Arial"/>
          <w:b/>
          <w:sz w:val="22"/>
          <w:szCs w:val="22"/>
        </w:rPr>
        <w:t xml:space="preserve"> </w:t>
      </w:r>
      <w:r w:rsidRPr="0051116B">
        <w:rPr>
          <w:rFonts w:ascii="Rockwell Nova" w:hAnsi="Rockwell Nova" w:cs="Arial"/>
          <w:sz w:val="22"/>
          <w:szCs w:val="22"/>
        </w:rPr>
        <w:t xml:space="preserve"> </w:t>
      </w:r>
      <w:r w:rsidR="005E60AD" w:rsidRPr="0051116B">
        <w:rPr>
          <w:rFonts w:ascii="Rockwell Nova" w:hAnsi="Rockwell Nova" w:cs="Arial"/>
          <w:sz w:val="22"/>
          <w:szCs w:val="22"/>
        </w:rPr>
        <w:t>Amy Bright</w:t>
      </w:r>
      <w:r w:rsidRPr="0051116B">
        <w:rPr>
          <w:rFonts w:ascii="Rockwell Nova" w:hAnsi="Rockwell Nova" w:cs="Arial"/>
          <w:sz w:val="22"/>
          <w:szCs w:val="22"/>
        </w:rPr>
        <w:t xml:space="preserve"> @ (360) 863-45</w:t>
      </w:r>
      <w:r w:rsidR="0051116B" w:rsidRPr="0051116B">
        <w:rPr>
          <w:rFonts w:ascii="Rockwell Nova" w:hAnsi="Rockwell Nova" w:cs="Arial"/>
          <w:sz w:val="22"/>
          <w:szCs w:val="22"/>
        </w:rPr>
        <w:t>3</w:t>
      </w:r>
      <w:r w:rsidRPr="0051116B">
        <w:rPr>
          <w:rFonts w:ascii="Rockwell Nova" w:hAnsi="Rockwell Nova" w:cs="Arial"/>
          <w:sz w:val="22"/>
          <w:szCs w:val="22"/>
        </w:rPr>
        <w:t xml:space="preserve">3 or </w:t>
      </w:r>
      <w:hyperlink r:id="rId10" w:history="1">
        <w:r w:rsidR="005E60AD" w:rsidRPr="0051116B">
          <w:rPr>
            <w:rStyle w:val="Hyperlink"/>
            <w:rFonts w:ascii="Rockwell Nova" w:hAnsi="Rockwell Nova"/>
            <w:sz w:val="22"/>
            <w:szCs w:val="22"/>
          </w:rPr>
          <w:t>abright@monroewa.gov</w:t>
        </w:r>
      </w:hyperlink>
      <w:r w:rsidR="005E60AD" w:rsidRPr="005E60AD">
        <w:rPr>
          <w:sz w:val="22"/>
          <w:szCs w:val="22"/>
        </w:rPr>
        <w:t xml:space="preserve"> </w:t>
      </w:r>
      <w:bookmarkEnd w:id="0"/>
    </w:p>
    <w:sectPr w:rsidR="00062885" w:rsidSect="006915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5D8"/>
    <w:multiLevelType w:val="multilevel"/>
    <w:tmpl w:val="724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D1E7D"/>
    <w:multiLevelType w:val="multilevel"/>
    <w:tmpl w:val="A63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549EF"/>
    <w:multiLevelType w:val="multilevel"/>
    <w:tmpl w:val="1EB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271437">
    <w:abstractNumId w:val="2"/>
  </w:num>
  <w:num w:numId="2" w16cid:durableId="734356758">
    <w:abstractNumId w:val="0"/>
  </w:num>
  <w:num w:numId="3" w16cid:durableId="75524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E"/>
    <w:rsid w:val="00004973"/>
    <w:rsid w:val="00010663"/>
    <w:rsid w:val="000537D5"/>
    <w:rsid w:val="00060C20"/>
    <w:rsid w:val="00062885"/>
    <w:rsid w:val="000F2ABE"/>
    <w:rsid w:val="0016084C"/>
    <w:rsid w:val="001D7528"/>
    <w:rsid w:val="0034624D"/>
    <w:rsid w:val="00365B63"/>
    <w:rsid w:val="004C69E4"/>
    <w:rsid w:val="004C7670"/>
    <w:rsid w:val="004D2DC8"/>
    <w:rsid w:val="0051116B"/>
    <w:rsid w:val="005A1E93"/>
    <w:rsid w:val="005E60AD"/>
    <w:rsid w:val="00650B07"/>
    <w:rsid w:val="0068163F"/>
    <w:rsid w:val="0069159E"/>
    <w:rsid w:val="006E349C"/>
    <w:rsid w:val="007D6154"/>
    <w:rsid w:val="007E4E39"/>
    <w:rsid w:val="008C7FC4"/>
    <w:rsid w:val="00967CB6"/>
    <w:rsid w:val="00B029A8"/>
    <w:rsid w:val="00C05E83"/>
    <w:rsid w:val="00C1148D"/>
    <w:rsid w:val="00C25D40"/>
    <w:rsid w:val="00C92357"/>
    <w:rsid w:val="00CB0644"/>
    <w:rsid w:val="00D031A8"/>
    <w:rsid w:val="00EF5B7F"/>
    <w:rsid w:val="00F835A7"/>
    <w:rsid w:val="00F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65E1"/>
  <w15:chartTrackingRefBased/>
  <w15:docId w15:val="{67246F55-33A8-4CB4-93D9-7B9D7136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9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5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915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159E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link">
    <w:name w:val="Hyperlink"/>
    <w:basedOn w:val="DefaultParagraphFont"/>
    <w:semiHidden/>
    <w:rsid w:val="000628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8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8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1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roewa.gov/1313/20020/Davis-Annex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aynard@monroew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7480751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bright@monroe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right@monroe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Wycoff</dc:creator>
  <cp:keywords/>
  <dc:description/>
  <cp:lastModifiedBy>Amy Bright</cp:lastModifiedBy>
  <cp:revision>3</cp:revision>
  <cp:lastPrinted>2025-05-28T17:25:00Z</cp:lastPrinted>
  <dcterms:created xsi:type="dcterms:W3CDTF">2025-12-24T18:32:00Z</dcterms:created>
  <dcterms:modified xsi:type="dcterms:W3CDTF">2025-12-24T18:33:00Z</dcterms:modified>
</cp:coreProperties>
</file>